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A13259" w:rsidRDefault="00921296" w:rsidP="0025120E">
      <w:pPr>
        <w:tabs>
          <w:tab w:val="left" w:pos="8820"/>
          <w:tab w:val="left" w:pos="10980"/>
        </w:tabs>
        <w:jc w:val="center"/>
        <w:rPr>
          <w:sz w:val="22"/>
          <w:szCs w:val="22"/>
        </w:rPr>
      </w:pPr>
      <w:bookmarkStart w:id="0" w:name="_GoBack"/>
      <w:bookmarkEnd w:id="0"/>
      <w:r w:rsidRPr="00A13259">
        <w:rPr>
          <w:sz w:val="22"/>
          <w:szCs w:val="22"/>
        </w:rPr>
        <w:t xml:space="preserve"> </w:t>
      </w:r>
      <w:r w:rsidR="0025120E" w:rsidRPr="00A13259">
        <w:rPr>
          <w:sz w:val="22"/>
          <w:szCs w:val="22"/>
        </w:rPr>
        <w:t>ПЕРЕЛІК</w:t>
      </w:r>
    </w:p>
    <w:p w:rsidR="0025120E" w:rsidRPr="00A13259" w:rsidRDefault="0025120E" w:rsidP="0025120E">
      <w:pPr>
        <w:jc w:val="center"/>
        <w:rPr>
          <w:sz w:val="22"/>
          <w:szCs w:val="22"/>
        </w:rPr>
      </w:pPr>
      <w:r w:rsidRPr="00A13259">
        <w:rPr>
          <w:sz w:val="22"/>
          <w:szCs w:val="22"/>
        </w:rPr>
        <w:t xml:space="preserve"> актів Департаменту соціального захисту населення Полтавської обл</w:t>
      </w:r>
      <w:r w:rsidR="00945C11" w:rsidRPr="00A13259">
        <w:rPr>
          <w:sz w:val="22"/>
          <w:szCs w:val="22"/>
        </w:rPr>
        <w:t xml:space="preserve">асної військової </w:t>
      </w:r>
      <w:r w:rsidRPr="00A13259">
        <w:rPr>
          <w:sz w:val="22"/>
          <w:szCs w:val="22"/>
        </w:rPr>
        <w:t xml:space="preserve">адміністрації, </w:t>
      </w:r>
    </w:p>
    <w:p w:rsidR="00EA7448" w:rsidRPr="00A13259" w:rsidRDefault="0025120E" w:rsidP="0025120E">
      <w:pPr>
        <w:jc w:val="center"/>
        <w:rPr>
          <w:sz w:val="22"/>
          <w:szCs w:val="22"/>
        </w:rPr>
      </w:pPr>
      <w:r w:rsidRPr="00A13259">
        <w:rPr>
          <w:sz w:val="22"/>
          <w:szCs w:val="22"/>
        </w:rPr>
        <w:t xml:space="preserve">прийнятих за </w:t>
      </w:r>
      <w:r w:rsidR="00755559" w:rsidRPr="00A13259">
        <w:rPr>
          <w:sz w:val="22"/>
          <w:szCs w:val="22"/>
        </w:rPr>
        <w:t>лютий</w:t>
      </w:r>
      <w:r w:rsidR="00135DBC" w:rsidRPr="00A13259">
        <w:rPr>
          <w:sz w:val="22"/>
          <w:szCs w:val="22"/>
        </w:rPr>
        <w:t xml:space="preserve"> </w:t>
      </w:r>
      <w:r w:rsidRPr="00A13259">
        <w:rPr>
          <w:sz w:val="22"/>
          <w:szCs w:val="22"/>
        </w:rPr>
        <w:t xml:space="preserve">місяць </w:t>
      </w:r>
      <w:r w:rsidR="00C65F66" w:rsidRPr="00A13259">
        <w:rPr>
          <w:sz w:val="22"/>
          <w:szCs w:val="22"/>
        </w:rPr>
        <w:t>2023</w:t>
      </w:r>
      <w:r w:rsidRPr="00A13259">
        <w:rPr>
          <w:sz w:val="22"/>
          <w:szCs w:val="22"/>
        </w:rPr>
        <w:t xml:space="preserve"> року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33"/>
        <w:gridCol w:w="1410"/>
        <w:gridCol w:w="1551"/>
        <w:gridCol w:w="3243"/>
        <w:gridCol w:w="6341"/>
        <w:gridCol w:w="649"/>
      </w:tblGrid>
      <w:tr w:rsidR="0025120E" w:rsidRPr="00A13259" w:rsidTr="007D5CFA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№</w:t>
            </w:r>
          </w:p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1833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 xml:space="preserve">Повне найменування суб’єкта </w:t>
            </w:r>
            <w:proofErr w:type="spellStart"/>
            <w:r w:rsidRPr="00A13259">
              <w:rPr>
                <w:b/>
                <w:sz w:val="22"/>
                <w:szCs w:val="22"/>
              </w:rPr>
              <w:t>нормотворення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Дата прийняття акта та його номер</w:t>
            </w:r>
          </w:p>
        </w:tc>
        <w:tc>
          <w:tcPr>
            <w:tcW w:w="3243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Повна назва акта</w:t>
            </w:r>
          </w:p>
        </w:tc>
        <w:tc>
          <w:tcPr>
            <w:tcW w:w="6341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649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Примітки</w:t>
            </w:r>
          </w:p>
        </w:tc>
      </w:tr>
      <w:tr w:rsidR="0025120E" w:rsidRPr="00A13259" w:rsidTr="007D5CFA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25120E" w:rsidRPr="00A13259" w:rsidRDefault="0025120E" w:rsidP="008A39EA">
            <w:pPr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7</w:t>
            </w:r>
          </w:p>
        </w:tc>
      </w:tr>
      <w:tr w:rsidR="0025120E" w:rsidRPr="00A13259" w:rsidTr="007D5CFA">
        <w:trPr>
          <w:trHeight w:val="56"/>
        </w:trPr>
        <w:tc>
          <w:tcPr>
            <w:tcW w:w="15593" w:type="dxa"/>
            <w:gridSpan w:val="7"/>
            <w:shd w:val="clear" w:color="auto" w:fill="auto"/>
          </w:tcPr>
          <w:p w:rsidR="0025120E" w:rsidRPr="00A13259" w:rsidRDefault="0025120E" w:rsidP="00566A48">
            <w:pPr>
              <w:ind w:right="-816"/>
              <w:jc w:val="center"/>
              <w:rPr>
                <w:b/>
                <w:sz w:val="22"/>
                <w:szCs w:val="22"/>
              </w:rPr>
            </w:pPr>
            <w:r w:rsidRPr="00A13259">
              <w:rPr>
                <w:b/>
                <w:sz w:val="22"/>
                <w:szCs w:val="22"/>
              </w:rPr>
              <w:t>Накази з основної діяльності</w:t>
            </w:r>
          </w:p>
        </w:tc>
      </w:tr>
      <w:tr w:rsidR="005B23D3" w:rsidRPr="00A13259" w:rsidTr="007D5CFA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A13259" w:rsidRDefault="005B23D3" w:rsidP="003F7F37">
            <w:pPr>
              <w:jc w:val="center"/>
              <w:rPr>
                <w:sz w:val="22"/>
                <w:szCs w:val="22"/>
              </w:rPr>
            </w:pPr>
          </w:p>
          <w:p w:rsidR="005B23D3" w:rsidRPr="00A13259" w:rsidRDefault="005B23D3" w:rsidP="003F7F37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1.</w:t>
            </w:r>
          </w:p>
        </w:tc>
        <w:tc>
          <w:tcPr>
            <w:tcW w:w="1833" w:type="dxa"/>
            <w:shd w:val="clear" w:color="auto" w:fill="auto"/>
          </w:tcPr>
          <w:p w:rsidR="005B23D3" w:rsidRPr="00A13259" w:rsidRDefault="005B23D3" w:rsidP="008A39EA">
            <w:pPr>
              <w:jc w:val="center"/>
              <w:rPr>
                <w:sz w:val="22"/>
                <w:szCs w:val="22"/>
                <w:highlight w:val="yellow"/>
              </w:rPr>
            </w:pPr>
            <w:r w:rsidRPr="00A13259">
              <w:rPr>
                <w:sz w:val="22"/>
                <w:szCs w:val="22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5B23D3" w:rsidRPr="00A13259" w:rsidRDefault="005B23D3" w:rsidP="008A39EA">
            <w:pPr>
              <w:jc w:val="center"/>
              <w:rPr>
                <w:sz w:val="22"/>
                <w:szCs w:val="22"/>
              </w:rPr>
            </w:pPr>
          </w:p>
          <w:p w:rsidR="005B23D3" w:rsidRPr="00A13259" w:rsidRDefault="005B23D3" w:rsidP="008A39EA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</w:t>
            </w:r>
          </w:p>
          <w:p w:rsidR="005B23D3" w:rsidRPr="00A13259" w:rsidRDefault="005B23D3" w:rsidP="008A39EA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5B23D3" w:rsidRPr="00A13259" w:rsidRDefault="00E964CE" w:rsidP="008A39EA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0</w:t>
            </w:r>
            <w:r w:rsidR="004B0B65" w:rsidRPr="00A13259">
              <w:rPr>
                <w:sz w:val="22"/>
                <w:szCs w:val="22"/>
                <w:lang w:val="en-US"/>
              </w:rPr>
              <w:t>1</w:t>
            </w:r>
            <w:r w:rsidR="00753D6E" w:rsidRPr="00A13259">
              <w:rPr>
                <w:sz w:val="22"/>
                <w:szCs w:val="22"/>
              </w:rPr>
              <w:t>.</w:t>
            </w:r>
            <w:r w:rsidR="004B0B65" w:rsidRPr="00A13259">
              <w:rPr>
                <w:sz w:val="22"/>
                <w:szCs w:val="22"/>
              </w:rPr>
              <w:t>02</w:t>
            </w:r>
            <w:r w:rsidR="00753D6E" w:rsidRPr="00A13259">
              <w:rPr>
                <w:sz w:val="22"/>
                <w:szCs w:val="22"/>
              </w:rPr>
              <w:t>.202</w:t>
            </w:r>
            <w:r w:rsidRPr="00A13259">
              <w:rPr>
                <w:sz w:val="22"/>
                <w:szCs w:val="22"/>
              </w:rPr>
              <w:t>3</w:t>
            </w:r>
          </w:p>
          <w:p w:rsidR="005B23D3" w:rsidRPr="00A13259" w:rsidRDefault="00F23D43" w:rsidP="00E964CE">
            <w:pPr>
              <w:jc w:val="center"/>
              <w:rPr>
                <w:sz w:val="22"/>
                <w:szCs w:val="22"/>
                <w:lang w:val="en-US"/>
              </w:rPr>
            </w:pPr>
            <w:r w:rsidRPr="00A13259">
              <w:rPr>
                <w:sz w:val="22"/>
                <w:szCs w:val="22"/>
              </w:rPr>
              <w:t xml:space="preserve">№ </w:t>
            </w:r>
            <w:r w:rsidR="00E964CE" w:rsidRPr="00A13259">
              <w:rPr>
                <w:sz w:val="22"/>
                <w:szCs w:val="22"/>
              </w:rPr>
              <w:t>1</w:t>
            </w:r>
            <w:r w:rsidR="004B0B65" w:rsidRPr="00A1325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:rsidR="005B23D3" w:rsidRPr="00A13259" w:rsidRDefault="00E964CE" w:rsidP="004B0B65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Про </w:t>
            </w:r>
            <w:proofErr w:type="spellStart"/>
            <w:r w:rsidR="004B0B65" w:rsidRPr="00A13259">
              <w:rPr>
                <w:sz w:val="22"/>
                <w:szCs w:val="22"/>
                <w:lang w:val="en-US"/>
              </w:rPr>
              <w:t>упорядкування</w:t>
            </w:r>
            <w:proofErr w:type="spellEnd"/>
            <w:r w:rsidR="004B0B65" w:rsidRPr="00A13259">
              <w:rPr>
                <w:sz w:val="22"/>
                <w:szCs w:val="22"/>
              </w:rPr>
              <w:t xml:space="preserve"> </w:t>
            </w:r>
            <w:proofErr w:type="spellStart"/>
            <w:r w:rsidR="004B0B65" w:rsidRPr="00A13259">
              <w:rPr>
                <w:sz w:val="22"/>
                <w:szCs w:val="22"/>
                <w:lang w:val="en-US"/>
              </w:rPr>
              <w:t>структури</w:t>
            </w:r>
            <w:proofErr w:type="spellEnd"/>
            <w:r w:rsidR="004B0B65" w:rsidRPr="00A13259">
              <w:rPr>
                <w:sz w:val="22"/>
                <w:szCs w:val="22"/>
                <w:lang w:val="en-US"/>
              </w:rPr>
              <w:t xml:space="preserve"> </w:t>
            </w:r>
            <w:r w:rsidR="004B0B65" w:rsidRPr="00A13259">
              <w:rPr>
                <w:sz w:val="22"/>
                <w:szCs w:val="22"/>
              </w:rPr>
              <w:t>Департаменту</w:t>
            </w:r>
          </w:p>
        </w:tc>
        <w:tc>
          <w:tcPr>
            <w:tcW w:w="6341" w:type="dxa"/>
            <w:shd w:val="clear" w:color="auto" w:fill="auto"/>
          </w:tcPr>
          <w:p w:rsidR="005B23D3" w:rsidRPr="00A13259" w:rsidRDefault="005B23D3" w:rsidP="00242193">
            <w:pPr>
              <w:jc w:val="both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Наказом, </w:t>
            </w:r>
            <w:r w:rsidR="00E964CE" w:rsidRPr="00A13259">
              <w:rPr>
                <w:sz w:val="22"/>
                <w:szCs w:val="22"/>
              </w:rPr>
              <w:t xml:space="preserve">на виконання </w:t>
            </w:r>
            <w:r w:rsidR="004B0B65" w:rsidRPr="00A13259">
              <w:rPr>
                <w:sz w:val="22"/>
                <w:szCs w:val="22"/>
              </w:rPr>
              <w:t xml:space="preserve">статей </w:t>
            </w:r>
            <w:r w:rsidR="00E964CE" w:rsidRPr="00A13259">
              <w:rPr>
                <w:sz w:val="22"/>
                <w:szCs w:val="22"/>
              </w:rPr>
              <w:t>6</w:t>
            </w:r>
            <w:r w:rsidR="004B0B65" w:rsidRPr="00A13259">
              <w:rPr>
                <w:sz w:val="22"/>
                <w:szCs w:val="22"/>
              </w:rPr>
              <w:t>, 43 Закону України «</w:t>
            </w:r>
            <w:r w:rsidR="00242193" w:rsidRPr="00A13259">
              <w:rPr>
                <w:sz w:val="22"/>
                <w:szCs w:val="22"/>
              </w:rPr>
              <w:t>Про державну службу», постанови Кабінету Міністрів України від 12 березня 2005 р. 179 «Про упорядкування структури апарату центральних органів виконавчої влади, їх територіальних підрозділів та місцевих державних адміністрацій»</w:t>
            </w:r>
            <w:r w:rsidR="00E964CE" w:rsidRPr="00A13259">
              <w:rPr>
                <w:sz w:val="22"/>
                <w:szCs w:val="22"/>
              </w:rPr>
              <w:t xml:space="preserve"> </w:t>
            </w:r>
            <w:r w:rsidR="004B0B65" w:rsidRPr="00A13259">
              <w:rPr>
                <w:sz w:val="22"/>
                <w:szCs w:val="22"/>
              </w:rPr>
              <w:t>внесено зміни до структури Департаменту</w:t>
            </w:r>
          </w:p>
        </w:tc>
        <w:tc>
          <w:tcPr>
            <w:tcW w:w="649" w:type="dxa"/>
            <w:shd w:val="clear" w:color="auto" w:fill="auto"/>
          </w:tcPr>
          <w:p w:rsidR="005B23D3" w:rsidRPr="00A13259" w:rsidRDefault="005B23D3" w:rsidP="008A39EA">
            <w:pPr>
              <w:jc w:val="both"/>
              <w:rPr>
                <w:sz w:val="22"/>
                <w:szCs w:val="22"/>
              </w:rPr>
            </w:pPr>
          </w:p>
          <w:p w:rsidR="005B23D3" w:rsidRPr="00A13259" w:rsidRDefault="005B23D3" w:rsidP="008A39EA">
            <w:pPr>
              <w:rPr>
                <w:sz w:val="22"/>
                <w:szCs w:val="22"/>
              </w:rPr>
            </w:pPr>
          </w:p>
          <w:p w:rsidR="005B23D3" w:rsidRPr="00A13259" w:rsidRDefault="005B23D3" w:rsidP="008A39EA">
            <w:pPr>
              <w:rPr>
                <w:sz w:val="22"/>
                <w:szCs w:val="22"/>
              </w:rPr>
            </w:pPr>
          </w:p>
          <w:p w:rsidR="005B23D3" w:rsidRPr="00A13259" w:rsidRDefault="005B23D3" w:rsidP="008A39EA">
            <w:pPr>
              <w:rPr>
                <w:sz w:val="22"/>
                <w:szCs w:val="22"/>
              </w:rPr>
            </w:pPr>
          </w:p>
          <w:p w:rsidR="005B23D3" w:rsidRPr="00A13259" w:rsidRDefault="005B23D3" w:rsidP="008A39EA">
            <w:pPr>
              <w:rPr>
                <w:sz w:val="22"/>
                <w:szCs w:val="22"/>
              </w:rPr>
            </w:pPr>
          </w:p>
        </w:tc>
      </w:tr>
      <w:tr w:rsidR="00001028" w:rsidRPr="00A13259" w:rsidTr="007D5CFA">
        <w:trPr>
          <w:trHeight w:val="742"/>
        </w:trPr>
        <w:tc>
          <w:tcPr>
            <w:tcW w:w="566" w:type="dxa"/>
            <w:shd w:val="clear" w:color="auto" w:fill="auto"/>
          </w:tcPr>
          <w:p w:rsidR="00001028" w:rsidRPr="00A13259" w:rsidRDefault="00001028" w:rsidP="003F7F37">
            <w:pPr>
              <w:jc w:val="center"/>
              <w:rPr>
                <w:sz w:val="22"/>
                <w:szCs w:val="22"/>
              </w:rPr>
            </w:pPr>
          </w:p>
          <w:p w:rsidR="00001028" w:rsidRPr="00A13259" w:rsidRDefault="00001028" w:rsidP="003F7F37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2.</w:t>
            </w:r>
          </w:p>
        </w:tc>
        <w:tc>
          <w:tcPr>
            <w:tcW w:w="1833" w:type="dxa"/>
            <w:shd w:val="clear" w:color="auto" w:fill="auto"/>
          </w:tcPr>
          <w:p w:rsidR="00001028" w:rsidRPr="00A13259" w:rsidRDefault="00001028" w:rsidP="008A39EA">
            <w:pPr>
              <w:jc w:val="center"/>
              <w:rPr>
                <w:sz w:val="22"/>
                <w:szCs w:val="22"/>
                <w:highlight w:val="yellow"/>
              </w:rPr>
            </w:pPr>
            <w:r w:rsidRPr="00A13259">
              <w:rPr>
                <w:sz w:val="22"/>
                <w:szCs w:val="22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001028" w:rsidRPr="00A13259" w:rsidRDefault="00001028" w:rsidP="008A39EA">
            <w:pPr>
              <w:jc w:val="center"/>
              <w:rPr>
                <w:sz w:val="22"/>
                <w:szCs w:val="22"/>
              </w:rPr>
            </w:pPr>
          </w:p>
          <w:p w:rsidR="00001028" w:rsidRPr="00A13259" w:rsidRDefault="00001028" w:rsidP="008A39EA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</w:t>
            </w:r>
          </w:p>
          <w:p w:rsidR="00001028" w:rsidRPr="00A13259" w:rsidRDefault="00001028" w:rsidP="008A39EA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001028" w:rsidRPr="00A13259" w:rsidRDefault="005F1B7C" w:rsidP="008A39EA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02</w:t>
            </w:r>
            <w:r w:rsidR="00001028" w:rsidRPr="00A13259">
              <w:rPr>
                <w:sz w:val="22"/>
                <w:szCs w:val="22"/>
              </w:rPr>
              <w:t>.</w:t>
            </w:r>
            <w:r w:rsidR="002F1B49" w:rsidRPr="00A13259">
              <w:rPr>
                <w:sz w:val="22"/>
                <w:szCs w:val="22"/>
              </w:rPr>
              <w:t>02</w:t>
            </w:r>
            <w:r w:rsidR="00001028" w:rsidRPr="00A13259">
              <w:rPr>
                <w:sz w:val="22"/>
                <w:szCs w:val="22"/>
              </w:rPr>
              <w:t>.202</w:t>
            </w:r>
            <w:r w:rsidRPr="00A13259">
              <w:rPr>
                <w:sz w:val="22"/>
                <w:szCs w:val="22"/>
              </w:rPr>
              <w:t>3</w:t>
            </w:r>
          </w:p>
          <w:p w:rsidR="00001028" w:rsidRPr="00A13259" w:rsidRDefault="00001028" w:rsidP="005F1B7C">
            <w:pPr>
              <w:jc w:val="center"/>
              <w:rPr>
                <w:color w:val="FF0000"/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№ </w:t>
            </w:r>
            <w:r w:rsidR="002F1B49" w:rsidRPr="00A13259">
              <w:rPr>
                <w:sz w:val="22"/>
                <w:szCs w:val="22"/>
              </w:rPr>
              <w:t>15</w:t>
            </w:r>
          </w:p>
        </w:tc>
        <w:tc>
          <w:tcPr>
            <w:tcW w:w="3243" w:type="dxa"/>
            <w:shd w:val="clear" w:color="auto" w:fill="auto"/>
          </w:tcPr>
          <w:p w:rsidR="005F1B7C" w:rsidRPr="00A13259" w:rsidRDefault="005F1B7C" w:rsidP="002F1B49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Про </w:t>
            </w:r>
            <w:r w:rsidR="002F1B49" w:rsidRPr="00A13259">
              <w:rPr>
                <w:sz w:val="22"/>
                <w:szCs w:val="22"/>
              </w:rPr>
              <w:t>недоліки в організації роботи «гарячої» телефонної лінії</w:t>
            </w:r>
          </w:p>
        </w:tc>
        <w:tc>
          <w:tcPr>
            <w:tcW w:w="6341" w:type="dxa"/>
            <w:shd w:val="clear" w:color="auto" w:fill="auto"/>
          </w:tcPr>
          <w:p w:rsidR="00001028" w:rsidRPr="00A13259" w:rsidRDefault="00001028" w:rsidP="007A1297">
            <w:pPr>
              <w:jc w:val="both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Наказом,</w:t>
            </w:r>
            <w:r w:rsidR="007A1297" w:rsidRPr="00A13259">
              <w:rPr>
                <w:sz w:val="22"/>
                <w:szCs w:val="22"/>
              </w:rPr>
              <w:t xml:space="preserve"> визначені доручення </w:t>
            </w:r>
            <w:r w:rsidR="006B3315" w:rsidRPr="00A13259">
              <w:rPr>
                <w:sz w:val="22"/>
                <w:szCs w:val="22"/>
              </w:rPr>
              <w:t xml:space="preserve"> </w:t>
            </w:r>
            <w:r w:rsidR="007A1297" w:rsidRPr="00A13259">
              <w:rPr>
                <w:sz w:val="22"/>
                <w:szCs w:val="22"/>
              </w:rPr>
              <w:t xml:space="preserve">щодо організації роботи </w:t>
            </w:r>
            <w:r w:rsidR="006B3315" w:rsidRPr="00A13259">
              <w:rPr>
                <w:sz w:val="22"/>
                <w:szCs w:val="22"/>
              </w:rPr>
              <w:t>«гарячої» телефонної лінії в Департаменті та установах системи соціального захисту населення</w:t>
            </w:r>
            <w:r w:rsidR="007A1297" w:rsidRPr="00A13259">
              <w:rPr>
                <w:sz w:val="22"/>
                <w:szCs w:val="22"/>
              </w:rPr>
              <w:t>.</w:t>
            </w:r>
            <w:r w:rsidR="006B3315" w:rsidRPr="00A132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shd w:val="clear" w:color="auto" w:fill="auto"/>
          </w:tcPr>
          <w:p w:rsidR="00001028" w:rsidRPr="00A13259" w:rsidRDefault="00001028" w:rsidP="008A39EA">
            <w:pPr>
              <w:jc w:val="both"/>
              <w:rPr>
                <w:sz w:val="22"/>
                <w:szCs w:val="22"/>
              </w:rPr>
            </w:pPr>
          </w:p>
        </w:tc>
      </w:tr>
      <w:tr w:rsidR="00F23D43" w:rsidRPr="00A13259" w:rsidTr="007D5CFA">
        <w:trPr>
          <w:trHeight w:val="1104"/>
        </w:trPr>
        <w:tc>
          <w:tcPr>
            <w:tcW w:w="566" w:type="dxa"/>
            <w:shd w:val="clear" w:color="auto" w:fill="auto"/>
          </w:tcPr>
          <w:p w:rsidR="00F23D43" w:rsidRPr="00A13259" w:rsidRDefault="00F23D43" w:rsidP="003F7F37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3.</w:t>
            </w:r>
          </w:p>
        </w:tc>
        <w:tc>
          <w:tcPr>
            <w:tcW w:w="1833" w:type="dxa"/>
            <w:shd w:val="clear" w:color="auto" w:fill="auto"/>
          </w:tcPr>
          <w:p w:rsidR="00F23D43" w:rsidRPr="00A13259" w:rsidRDefault="00F23D43" w:rsidP="00F23D43">
            <w:pPr>
              <w:jc w:val="center"/>
              <w:rPr>
                <w:sz w:val="22"/>
                <w:szCs w:val="22"/>
                <w:highlight w:val="yellow"/>
              </w:rPr>
            </w:pPr>
            <w:r w:rsidRPr="00A13259">
              <w:rPr>
                <w:sz w:val="22"/>
                <w:szCs w:val="22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23D43" w:rsidRPr="00A13259" w:rsidRDefault="00F23D43" w:rsidP="00F23D43">
            <w:pPr>
              <w:jc w:val="center"/>
              <w:rPr>
                <w:sz w:val="22"/>
                <w:szCs w:val="22"/>
              </w:rPr>
            </w:pPr>
          </w:p>
          <w:p w:rsidR="00F23D43" w:rsidRPr="00A13259" w:rsidRDefault="00F23D43" w:rsidP="00F23D43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</w:t>
            </w:r>
          </w:p>
          <w:p w:rsidR="00F23D43" w:rsidRPr="00A13259" w:rsidRDefault="00F23D43" w:rsidP="00F23D43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F23D43" w:rsidRPr="00A13259" w:rsidRDefault="00577302" w:rsidP="00F23D43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0</w:t>
            </w:r>
            <w:r w:rsidR="00A812A5" w:rsidRPr="00A13259">
              <w:rPr>
                <w:sz w:val="22"/>
                <w:szCs w:val="22"/>
              </w:rPr>
              <w:t>6</w:t>
            </w:r>
            <w:r w:rsidR="00627DCA" w:rsidRPr="00A13259">
              <w:rPr>
                <w:sz w:val="22"/>
                <w:szCs w:val="22"/>
              </w:rPr>
              <w:t>.</w:t>
            </w:r>
            <w:r w:rsidRPr="00A13259">
              <w:rPr>
                <w:sz w:val="22"/>
                <w:szCs w:val="22"/>
              </w:rPr>
              <w:t>0</w:t>
            </w:r>
            <w:r w:rsidR="00A812A5" w:rsidRPr="00A13259">
              <w:rPr>
                <w:sz w:val="22"/>
                <w:szCs w:val="22"/>
              </w:rPr>
              <w:t>2</w:t>
            </w:r>
            <w:r w:rsidR="00627DCA" w:rsidRPr="00A13259">
              <w:rPr>
                <w:sz w:val="22"/>
                <w:szCs w:val="22"/>
              </w:rPr>
              <w:t>.</w:t>
            </w:r>
            <w:r w:rsidR="00F23D43" w:rsidRPr="00A13259">
              <w:rPr>
                <w:sz w:val="22"/>
                <w:szCs w:val="22"/>
              </w:rPr>
              <w:t>202</w:t>
            </w:r>
            <w:r w:rsidRPr="00A13259">
              <w:rPr>
                <w:sz w:val="22"/>
                <w:szCs w:val="22"/>
              </w:rPr>
              <w:t>3</w:t>
            </w:r>
          </w:p>
          <w:p w:rsidR="00F23D43" w:rsidRPr="00A13259" w:rsidRDefault="00F23D43" w:rsidP="00A812A5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№ </w:t>
            </w:r>
            <w:r w:rsidR="00A812A5" w:rsidRPr="00A13259">
              <w:rPr>
                <w:sz w:val="22"/>
                <w:szCs w:val="22"/>
              </w:rPr>
              <w:t>16</w:t>
            </w:r>
          </w:p>
        </w:tc>
        <w:tc>
          <w:tcPr>
            <w:tcW w:w="3243" w:type="dxa"/>
            <w:shd w:val="clear" w:color="auto" w:fill="auto"/>
          </w:tcPr>
          <w:p w:rsidR="00F23D43" w:rsidRPr="00A13259" w:rsidRDefault="00577302" w:rsidP="00DE1E26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Про </w:t>
            </w:r>
            <w:r w:rsidR="00DE1E26" w:rsidRPr="00A13259">
              <w:rPr>
                <w:sz w:val="22"/>
                <w:szCs w:val="22"/>
              </w:rPr>
              <w:t>забезпечення виконання рішення колегії Департаменту соціального захисту населення від 03.02.2023 № 1</w:t>
            </w:r>
          </w:p>
        </w:tc>
        <w:tc>
          <w:tcPr>
            <w:tcW w:w="6341" w:type="dxa"/>
            <w:shd w:val="clear" w:color="auto" w:fill="auto"/>
          </w:tcPr>
          <w:p w:rsidR="00F23D43" w:rsidRPr="00A13259" w:rsidRDefault="001608D7" w:rsidP="00B73DD2">
            <w:pPr>
              <w:jc w:val="both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Наказом, </w:t>
            </w:r>
            <w:r w:rsidR="00B73DD2" w:rsidRPr="00A13259">
              <w:rPr>
                <w:sz w:val="22"/>
                <w:szCs w:val="22"/>
              </w:rPr>
              <w:t>на підставі Положення про Департамент соціального захисту, населення Полтавської обласної державної адміністрації, затвердженого розпорядженням голови обласної державної адміністрації від 12.03.2020 року № 136, пункту 46 Регламенту Департаменту соціального захисту населення Полтавської обласної державної адміністрації, затвердженого наказом</w:t>
            </w:r>
            <w:r w:rsidR="007A1297" w:rsidRPr="00A13259">
              <w:rPr>
                <w:sz w:val="22"/>
                <w:szCs w:val="22"/>
              </w:rPr>
              <w:t xml:space="preserve"> Департаменту від 10.01.2022 №6, введено в дію рішення колегії Департаменту від 03.02.2023 № 1.</w:t>
            </w:r>
          </w:p>
        </w:tc>
        <w:tc>
          <w:tcPr>
            <w:tcW w:w="649" w:type="dxa"/>
            <w:shd w:val="clear" w:color="auto" w:fill="auto"/>
          </w:tcPr>
          <w:p w:rsidR="00F23D43" w:rsidRPr="00A13259" w:rsidRDefault="00F23D43" w:rsidP="00F23D43">
            <w:pPr>
              <w:jc w:val="both"/>
              <w:rPr>
                <w:sz w:val="22"/>
                <w:szCs w:val="22"/>
              </w:rPr>
            </w:pPr>
          </w:p>
        </w:tc>
      </w:tr>
      <w:tr w:rsidR="006551F2" w:rsidRPr="00A13259" w:rsidTr="007D5CFA">
        <w:trPr>
          <w:trHeight w:val="1104"/>
        </w:trPr>
        <w:tc>
          <w:tcPr>
            <w:tcW w:w="566" w:type="dxa"/>
            <w:shd w:val="clear" w:color="auto" w:fill="auto"/>
          </w:tcPr>
          <w:p w:rsidR="006551F2" w:rsidRPr="00A13259" w:rsidRDefault="006551F2" w:rsidP="006551F2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:rsidR="006551F2" w:rsidRPr="00A13259" w:rsidRDefault="006551F2" w:rsidP="006551F2">
            <w:pPr>
              <w:jc w:val="center"/>
              <w:rPr>
                <w:sz w:val="22"/>
                <w:szCs w:val="22"/>
                <w:highlight w:val="yellow"/>
              </w:rPr>
            </w:pPr>
            <w:r w:rsidRPr="00A13259">
              <w:rPr>
                <w:sz w:val="22"/>
                <w:szCs w:val="22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6551F2" w:rsidRPr="00A13259" w:rsidRDefault="006551F2" w:rsidP="006551F2">
            <w:pPr>
              <w:jc w:val="center"/>
              <w:rPr>
                <w:sz w:val="22"/>
                <w:szCs w:val="22"/>
              </w:rPr>
            </w:pPr>
          </w:p>
          <w:p w:rsidR="006551F2" w:rsidRPr="00A13259" w:rsidRDefault="006551F2" w:rsidP="006551F2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</w:t>
            </w:r>
          </w:p>
          <w:p w:rsidR="006551F2" w:rsidRPr="00A13259" w:rsidRDefault="006551F2" w:rsidP="006551F2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E20A8F" w:rsidRPr="00A13259" w:rsidRDefault="00157AD1" w:rsidP="00E20A8F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07.02</w:t>
            </w:r>
            <w:r w:rsidR="00E20A8F" w:rsidRPr="00A13259">
              <w:rPr>
                <w:sz w:val="22"/>
                <w:szCs w:val="22"/>
              </w:rPr>
              <w:t>.2023</w:t>
            </w:r>
          </w:p>
          <w:p w:rsidR="006551F2" w:rsidRPr="00A13259" w:rsidRDefault="00E20A8F" w:rsidP="00E20A8F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№ </w:t>
            </w:r>
            <w:r w:rsidR="00EA17F0" w:rsidRPr="00A13259">
              <w:rPr>
                <w:sz w:val="22"/>
                <w:szCs w:val="22"/>
              </w:rPr>
              <w:t>17</w:t>
            </w:r>
          </w:p>
        </w:tc>
        <w:tc>
          <w:tcPr>
            <w:tcW w:w="3243" w:type="dxa"/>
            <w:shd w:val="clear" w:color="auto" w:fill="auto"/>
          </w:tcPr>
          <w:p w:rsidR="006551F2" w:rsidRPr="00A13259" w:rsidRDefault="00E20A8F" w:rsidP="00EA17F0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Про </w:t>
            </w:r>
            <w:r w:rsidR="00EA17F0" w:rsidRPr="00A13259">
              <w:rPr>
                <w:sz w:val="22"/>
                <w:szCs w:val="22"/>
              </w:rPr>
              <w:t>затвердження паспортів бюджетних програм місцевого бюджету на 2023 рік</w:t>
            </w:r>
          </w:p>
        </w:tc>
        <w:tc>
          <w:tcPr>
            <w:tcW w:w="6341" w:type="dxa"/>
            <w:shd w:val="clear" w:color="auto" w:fill="auto"/>
          </w:tcPr>
          <w:p w:rsidR="006551F2" w:rsidRPr="00A13259" w:rsidRDefault="00E20A8F" w:rsidP="00FA4B7F">
            <w:pPr>
              <w:jc w:val="both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Наказом, </w:t>
            </w:r>
            <w:r w:rsidR="00FA4B7F" w:rsidRPr="00A13259">
              <w:rPr>
                <w:sz w:val="22"/>
                <w:szCs w:val="22"/>
              </w:rPr>
              <w:t>відповідно до рішення пленарного засідання двадцятої позачергової сесії восьмого скликання Полтавської обласної ради від 23 грудня 2022 року №528 «Про обласний бюджет Полтавської області на 2023 рік 16100000000 (код бюджету)», наказу Міністерства фінансів України від 26.08.2014 №</w:t>
            </w:r>
            <w:r w:rsidR="005B2565" w:rsidRPr="00A13259">
              <w:rPr>
                <w:sz w:val="22"/>
                <w:szCs w:val="22"/>
              </w:rPr>
              <w:t xml:space="preserve"> </w:t>
            </w:r>
            <w:r w:rsidR="00FA4B7F" w:rsidRPr="00A13259">
              <w:rPr>
                <w:sz w:val="22"/>
                <w:szCs w:val="22"/>
              </w:rPr>
              <w:t xml:space="preserve">836 «Про деякі питання запровадження програмно – цільового методу складання та виконання місцевих бюджетів» (із змінами), зареєстрованого в Міністерстві юстиції України 10 </w:t>
            </w:r>
            <w:r w:rsidR="00F2423C" w:rsidRPr="00A13259">
              <w:rPr>
                <w:sz w:val="22"/>
                <w:szCs w:val="22"/>
              </w:rPr>
              <w:t xml:space="preserve">вересня 2014 р. за №1103/25880, </w:t>
            </w:r>
            <w:r w:rsidR="001E6AB6" w:rsidRPr="00A13259">
              <w:rPr>
                <w:sz w:val="22"/>
                <w:szCs w:val="22"/>
              </w:rPr>
              <w:t xml:space="preserve">затверджено паспорти бюджетних програм місцевого бюджету на 2023 рік. </w:t>
            </w:r>
          </w:p>
        </w:tc>
        <w:tc>
          <w:tcPr>
            <w:tcW w:w="649" w:type="dxa"/>
            <w:shd w:val="clear" w:color="auto" w:fill="auto"/>
          </w:tcPr>
          <w:p w:rsidR="006551F2" w:rsidRPr="00A13259" w:rsidRDefault="006551F2" w:rsidP="006551F2">
            <w:pPr>
              <w:jc w:val="both"/>
              <w:rPr>
                <w:sz w:val="22"/>
                <w:szCs w:val="22"/>
              </w:rPr>
            </w:pPr>
          </w:p>
        </w:tc>
      </w:tr>
      <w:tr w:rsidR="0085676F" w:rsidRPr="00A13259" w:rsidTr="007D5CFA">
        <w:trPr>
          <w:trHeight w:val="699"/>
        </w:trPr>
        <w:tc>
          <w:tcPr>
            <w:tcW w:w="566" w:type="dxa"/>
            <w:shd w:val="clear" w:color="auto" w:fill="auto"/>
          </w:tcPr>
          <w:p w:rsidR="0085676F" w:rsidRPr="00A13259" w:rsidRDefault="0085676F" w:rsidP="0085676F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5.</w:t>
            </w:r>
          </w:p>
        </w:tc>
        <w:tc>
          <w:tcPr>
            <w:tcW w:w="1833" w:type="dxa"/>
            <w:shd w:val="clear" w:color="auto" w:fill="auto"/>
          </w:tcPr>
          <w:p w:rsidR="0085676F" w:rsidRPr="00A13259" w:rsidRDefault="0085676F" w:rsidP="0085676F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Департамент соціального захисту населення </w:t>
            </w:r>
            <w:r w:rsidRPr="00A13259">
              <w:rPr>
                <w:sz w:val="22"/>
                <w:szCs w:val="22"/>
              </w:rPr>
              <w:lastRenderedPageBreak/>
              <w:t>Полтавської ОДА</w:t>
            </w:r>
          </w:p>
          <w:p w:rsidR="0085676F" w:rsidRPr="00A13259" w:rsidRDefault="0085676F" w:rsidP="008567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shd w:val="clear" w:color="auto" w:fill="auto"/>
          </w:tcPr>
          <w:p w:rsidR="0085676F" w:rsidRPr="00A13259" w:rsidRDefault="0085676F" w:rsidP="0085676F">
            <w:pPr>
              <w:jc w:val="center"/>
              <w:rPr>
                <w:sz w:val="22"/>
                <w:szCs w:val="22"/>
              </w:rPr>
            </w:pPr>
          </w:p>
          <w:p w:rsidR="0085676F" w:rsidRPr="00A13259" w:rsidRDefault="0085676F" w:rsidP="0085676F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</w:t>
            </w:r>
          </w:p>
          <w:p w:rsidR="0085676F" w:rsidRPr="00A13259" w:rsidRDefault="0085676F" w:rsidP="0085676F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:rsidR="0085676F" w:rsidRPr="00A13259" w:rsidRDefault="005B2565" w:rsidP="0085676F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07.02</w:t>
            </w:r>
            <w:r w:rsidR="0085676F" w:rsidRPr="00A13259">
              <w:rPr>
                <w:sz w:val="22"/>
                <w:szCs w:val="22"/>
              </w:rPr>
              <w:t>.2023</w:t>
            </w:r>
          </w:p>
          <w:p w:rsidR="0085676F" w:rsidRPr="00A13259" w:rsidRDefault="0085676F" w:rsidP="0085676F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№ </w:t>
            </w:r>
            <w:r w:rsidR="005B2565" w:rsidRPr="00A13259">
              <w:rPr>
                <w:sz w:val="22"/>
                <w:szCs w:val="22"/>
              </w:rPr>
              <w:t>18</w:t>
            </w:r>
          </w:p>
        </w:tc>
        <w:tc>
          <w:tcPr>
            <w:tcW w:w="3243" w:type="dxa"/>
            <w:shd w:val="clear" w:color="auto" w:fill="auto"/>
          </w:tcPr>
          <w:p w:rsidR="0085676F" w:rsidRPr="00A13259" w:rsidRDefault="0085676F" w:rsidP="005B2565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Про </w:t>
            </w:r>
            <w:r w:rsidR="005B2565" w:rsidRPr="00A13259">
              <w:rPr>
                <w:sz w:val="22"/>
                <w:szCs w:val="22"/>
              </w:rPr>
              <w:t>внесення змін до Положення про облікову політику</w:t>
            </w:r>
            <w:r w:rsidRPr="00A132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41" w:type="dxa"/>
            <w:shd w:val="clear" w:color="auto" w:fill="auto"/>
          </w:tcPr>
          <w:p w:rsidR="0085676F" w:rsidRPr="00A13259" w:rsidRDefault="0085676F" w:rsidP="00F92DC0">
            <w:pPr>
              <w:jc w:val="both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Наказом, </w:t>
            </w:r>
            <w:r w:rsidR="005B2565" w:rsidRPr="00A13259">
              <w:rPr>
                <w:sz w:val="22"/>
                <w:szCs w:val="22"/>
              </w:rPr>
              <w:t xml:space="preserve">відповідно до </w:t>
            </w:r>
            <w:r w:rsidR="00F92DC0" w:rsidRPr="00A13259">
              <w:rPr>
                <w:sz w:val="22"/>
                <w:szCs w:val="22"/>
              </w:rPr>
              <w:t>Закону України «Про бухгалтерський облік та фінансову звітність в Україні» від 16 липня 1999 року № 996-</w:t>
            </w:r>
            <w:r w:rsidR="00F92DC0" w:rsidRPr="00A13259">
              <w:rPr>
                <w:sz w:val="22"/>
                <w:szCs w:val="22"/>
                <w:lang w:val="en-US"/>
              </w:rPr>
              <w:t>XIV</w:t>
            </w:r>
            <w:r w:rsidR="00F92DC0" w:rsidRPr="00A13259">
              <w:rPr>
                <w:sz w:val="22"/>
                <w:szCs w:val="22"/>
              </w:rPr>
              <w:t xml:space="preserve">, Національного положення (стандарту) бухгалтерського обліку в державному секторі 121 «Основні </w:t>
            </w:r>
            <w:r w:rsidR="00F92DC0" w:rsidRPr="00A13259">
              <w:rPr>
                <w:sz w:val="22"/>
                <w:szCs w:val="22"/>
              </w:rPr>
              <w:lastRenderedPageBreak/>
              <w:t>засоби» із змінами,  внесеними наказом Міністерства фінансів України від 20.07.2020 №432, Національного положення (стандарту)</w:t>
            </w:r>
            <w:r w:rsidR="00D74CB7" w:rsidRPr="00A13259">
              <w:rPr>
                <w:sz w:val="22"/>
                <w:szCs w:val="22"/>
              </w:rPr>
              <w:t xml:space="preserve"> </w:t>
            </w:r>
            <w:r w:rsidR="00F92DC0" w:rsidRPr="00A13259">
              <w:rPr>
                <w:sz w:val="22"/>
                <w:szCs w:val="22"/>
              </w:rPr>
              <w:t>бухгалтерського обліку в державному секторі 125 «Зміни облікових оцінок та виправлення помилок», затвердженого наказом Міністерства фінансів України від 24.12.2010 № 1629, Методичних рекомендацій щодо облікової політики суб’єкта державного сектору, затверджених наказом Міністерства фінансів України від 28.12.2020 № 816, з метою формування єдиних підходів до облікової політики в межах головного</w:t>
            </w:r>
            <w:r w:rsidR="001E6AB6" w:rsidRPr="00A13259">
              <w:rPr>
                <w:sz w:val="22"/>
                <w:szCs w:val="22"/>
              </w:rPr>
              <w:t xml:space="preserve"> розпорядника бюджетних коштів, затверджено зміни до Положення про облікову політику Департаменту.</w:t>
            </w:r>
          </w:p>
        </w:tc>
        <w:tc>
          <w:tcPr>
            <w:tcW w:w="649" w:type="dxa"/>
            <w:shd w:val="clear" w:color="auto" w:fill="auto"/>
          </w:tcPr>
          <w:p w:rsidR="0085676F" w:rsidRPr="00A13259" w:rsidRDefault="0085676F" w:rsidP="0085676F">
            <w:pPr>
              <w:jc w:val="both"/>
              <w:rPr>
                <w:sz w:val="22"/>
                <w:szCs w:val="22"/>
              </w:rPr>
            </w:pPr>
          </w:p>
        </w:tc>
      </w:tr>
      <w:tr w:rsidR="00814841" w:rsidRPr="00A13259" w:rsidTr="007D5CFA">
        <w:trPr>
          <w:trHeight w:val="552"/>
        </w:trPr>
        <w:tc>
          <w:tcPr>
            <w:tcW w:w="566" w:type="dxa"/>
            <w:shd w:val="clear" w:color="auto" w:fill="auto"/>
          </w:tcPr>
          <w:p w:rsidR="00814841" w:rsidRPr="00A13259" w:rsidRDefault="00814841" w:rsidP="00814841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833" w:type="dxa"/>
            <w:shd w:val="clear" w:color="auto" w:fill="auto"/>
          </w:tcPr>
          <w:p w:rsidR="00814841" w:rsidRPr="00A13259" w:rsidRDefault="00814841" w:rsidP="00814841">
            <w:pPr>
              <w:jc w:val="center"/>
              <w:rPr>
                <w:sz w:val="22"/>
                <w:szCs w:val="22"/>
                <w:highlight w:val="yellow"/>
              </w:rPr>
            </w:pPr>
            <w:r w:rsidRPr="00A13259">
              <w:rPr>
                <w:sz w:val="22"/>
                <w:szCs w:val="22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814841" w:rsidRPr="00A13259" w:rsidRDefault="00814841" w:rsidP="00814841">
            <w:pPr>
              <w:jc w:val="center"/>
              <w:rPr>
                <w:sz w:val="22"/>
                <w:szCs w:val="22"/>
              </w:rPr>
            </w:pPr>
          </w:p>
          <w:p w:rsidR="00814841" w:rsidRPr="00A13259" w:rsidRDefault="00814841" w:rsidP="00D25663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814841" w:rsidRPr="00A13259" w:rsidRDefault="006929CA" w:rsidP="00814841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2</w:t>
            </w:r>
            <w:r w:rsidR="00D74CB7" w:rsidRPr="00A13259">
              <w:rPr>
                <w:sz w:val="22"/>
                <w:szCs w:val="22"/>
              </w:rPr>
              <w:t>7</w:t>
            </w:r>
            <w:r w:rsidR="00824D8F" w:rsidRPr="00A13259">
              <w:rPr>
                <w:sz w:val="22"/>
                <w:szCs w:val="22"/>
              </w:rPr>
              <w:t>.</w:t>
            </w:r>
            <w:r w:rsidR="00D74CB7" w:rsidRPr="00A13259">
              <w:rPr>
                <w:sz w:val="22"/>
                <w:szCs w:val="22"/>
              </w:rPr>
              <w:t>02</w:t>
            </w:r>
            <w:r w:rsidR="00824D8F" w:rsidRPr="00A13259">
              <w:rPr>
                <w:sz w:val="22"/>
                <w:szCs w:val="22"/>
              </w:rPr>
              <w:t>.202</w:t>
            </w:r>
            <w:r w:rsidRPr="00A13259">
              <w:rPr>
                <w:sz w:val="22"/>
                <w:szCs w:val="22"/>
              </w:rPr>
              <w:t>3</w:t>
            </w:r>
          </w:p>
          <w:p w:rsidR="00814841" w:rsidRPr="00A13259" w:rsidRDefault="00814841" w:rsidP="006929CA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№</w:t>
            </w:r>
            <w:r w:rsidR="009D2EAC" w:rsidRPr="00A13259">
              <w:rPr>
                <w:sz w:val="22"/>
                <w:szCs w:val="22"/>
              </w:rPr>
              <w:t xml:space="preserve"> </w:t>
            </w:r>
            <w:r w:rsidR="00D74CB7" w:rsidRPr="00A13259">
              <w:rPr>
                <w:sz w:val="22"/>
                <w:szCs w:val="22"/>
              </w:rPr>
              <w:t>19</w:t>
            </w:r>
          </w:p>
        </w:tc>
        <w:tc>
          <w:tcPr>
            <w:tcW w:w="3243" w:type="dxa"/>
            <w:shd w:val="clear" w:color="auto" w:fill="auto"/>
          </w:tcPr>
          <w:p w:rsidR="00814841" w:rsidRPr="00A13259" w:rsidRDefault="006929CA" w:rsidP="00D74CB7">
            <w:pPr>
              <w:jc w:val="center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 xml:space="preserve">Про введення в дію </w:t>
            </w:r>
            <w:r w:rsidR="00D74CB7" w:rsidRPr="00A13259">
              <w:rPr>
                <w:sz w:val="22"/>
                <w:szCs w:val="22"/>
              </w:rPr>
              <w:t>Змін №2 штатного розпису на 2023 рік</w:t>
            </w:r>
          </w:p>
        </w:tc>
        <w:tc>
          <w:tcPr>
            <w:tcW w:w="6341" w:type="dxa"/>
            <w:shd w:val="clear" w:color="auto" w:fill="auto"/>
          </w:tcPr>
          <w:p w:rsidR="00824D8F" w:rsidRPr="00A13259" w:rsidRDefault="00814841" w:rsidP="00D74CB7">
            <w:pPr>
              <w:jc w:val="both"/>
              <w:rPr>
                <w:sz w:val="22"/>
                <w:szCs w:val="22"/>
              </w:rPr>
            </w:pPr>
            <w:r w:rsidRPr="00A13259">
              <w:rPr>
                <w:sz w:val="22"/>
                <w:szCs w:val="22"/>
              </w:rPr>
              <w:t>Наказом,</w:t>
            </w:r>
            <w:r w:rsidR="009D2EAC" w:rsidRPr="00A13259">
              <w:rPr>
                <w:sz w:val="22"/>
                <w:szCs w:val="22"/>
              </w:rPr>
              <w:t xml:space="preserve"> </w:t>
            </w:r>
            <w:r w:rsidR="00D74CB7" w:rsidRPr="00A13259">
              <w:rPr>
                <w:sz w:val="22"/>
                <w:szCs w:val="22"/>
              </w:rPr>
              <w:t>введено в дію з 01.03</w:t>
            </w:r>
            <w:r w:rsidR="006929CA" w:rsidRPr="00A13259">
              <w:rPr>
                <w:sz w:val="22"/>
                <w:szCs w:val="22"/>
              </w:rPr>
              <w:t xml:space="preserve">.2023 </w:t>
            </w:r>
            <w:r w:rsidR="00D74CB7" w:rsidRPr="00A13259">
              <w:rPr>
                <w:sz w:val="22"/>
                <w:szCs w:val="22"/>
              </w:rPr>
              <w:t>Зміни до штатного</w:t>
            </w:r>
            <w:r w:rsidR="006929CA" w:rsidRPr="00A13259">
              <w:rPr>
                <w:sz w:val="22"/>
                <w:szCs w:val="22"/>
              </w:rPr>
              <w:t xml:space="preserve"> розпис</w:t>
            </w:r>
            <w:r w:rsidR="00D74CB7" w:rsidRPr="00A13259">
              <w:rPr>
                <w:sz w:val="22"/>
                <w:szCs w:val="22"/>
              </w:rPr>
              <w:t>у</w:t>
            </w:r>
            <w:r w:rsidR="006929CA" w:rsidRPr="00A13259">
              <w:rPr>
                <w:sz w:val="22"/>
                <w:szCs w:val="22"/>
              </w:rPr>
              <w:t xml:space="preserve"> на 2023 рік Департаменту у кількості 4</w:t>
            </w:r>
            <w:r w:rsidR="00D74CB7" w:rsidRPr="00A13259">
              <w:rPr>
                <w:sz w:val="22"/>
                <w:szCs w:val="22"/>
              </w:rPr>
              <w:t>3</w:t>
            </w:r>
            <w:r w:rsidR="006929CA" w:rsidRPr="00A13259">
              <w:rPr>
                <w:sz w:val="22"/>
                <w:szCs w:val="22"/>
              </w:rPr>
              <w:t xml:space="preserve"> штатних одиниць з місячним фондом заробітної плати за посадовими окладами 29</w:t>
            </w:r>
            <w:r w:rsidR="00D74CB7" w:rsidRPr="00A13259">
              <w:rPr>
                <w:sz w:val="22"/>
                <w:szCs w:val="22"/>
              </w:rPr>
              <w:t>4 239</w:t>
            </w:r>
            <w:r w:rsidR="001E6AB6" w:rsidRPr="00A13259">
              <w:rPr>
                <w:sz w:val="22"/>
                <w:szCs w:val="22"/>
              </w:rPr>
              <w:t>, 00 грн.</w:t>
            </w:r>
          </w:p>
        </w:tc>
        <w:tc>
          <w:tcPr>
            <w:tcW w:w="649" w:type="dxa"/>
            <w:shd w:val="clear" w:color="auto" w:fill="auto"/>
          </w:tcPr>
          <w:p w:rsidR="00814841" w:rsidRPr="00A13259" w:rsidRDefault="00814841" w:rsidP="00814841">
            <w:pPr>
              <w:jc w:val="both"/>
              <w:rPr>
                <w:sz w:val="22"/>
                <w:szCs w:val="22"/>
              </w:rPr>
            </w:pPr>
          </w:p>
        </w:tc>
      </w:tr>
    </w:tbl>
    <w:p w:rsidR="00BB6776" w:rsidRDefault="00BB6776" w:rsidP="0025120E">
      <w:pPr>
        <w:jc w:val="both"/>
        <w:rPr>
          <w:bCs/>
          <w:sz w:val="22"/>
          <w:szCs w:val="22"/>
        </w:rPr>
      </w:pPr>
    </w:p>
    <w:p w:rsidR="001A19EA" w:rsidRPr="00A13259" w:rsidRDefault="001A19EA" w:rsidP="0025120E">
      <w:pPr>
        <w:jc w:val="both"/>
        <w:rPr>
          <w:bCs/>
          <w:sz w:val="22"/>
          <w:szCs w:val="22"/>
        </w:rPr>
      </w:pPr>
    </w:p>
    <w:p w:rsidR="00BB6776" w:rsidRPr="00A13259" w:rsidRDefault="00BB6776" w:rsidP="0025120E">
      <w:pPr>
        <w:jc w:val="both"/>
        <w:rPr>
          <w:bCs/>
          <w:sz w:val="22"/>
          <w:szCs w:val="22"/>
        </w:rPr>
      </w:pPr>
    </w:p>
    <w:p w:rsidR="006C530B" w:rsidRDefault="006C530B" w:rsidP="0025120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Перший заступник </w:t>
      </w:r>
    </w:p>
    <w:p w:rsidR="00D60486" w:rsidRPr="00A13259" w:rsidRDefault="006C530B" w:rsidP="0025120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директора</w:t>
      </w:r>
      <w:r w:rsidR="006B1F92" w:rsidRPr="00A13259">
        <w:rPr>
          <w:bCs/>
          <w:sz w:val="22"/>
          <w:szCs w:val="22"/>
        </w:rPr>
        <w:t xml:space="preserve"> Департаменту                                                            </w:t>
      </w:r>
      <w:r w:rsidR="006953F1" w:rsidRPr="00A13259">
        <w:rPr>
          <w:bCs/>
          <w:sz w:val="22"/>
          <w:szCs w:val="22"/>
        </w:rPr>
        <w:t xml:space="preserve">  </w:t>
      </w:r>
      <w:r w:rsidR="006B1F92" w:rsidRPr="00A13259">
        <w:rPr>
          <w:bCs/>
          <w:sz w:val="22"/>
          <w:szCs w:val="22"/>
        </w:rPr>
        <w:t xml:space="preserve">         </w:t>
      </w:r>
      <w:r w:rsidR="00E4292D" w:rsidRPr="00A13259">
        <w:rPr>
          <w:bCs/>
          <w:sz w:val="22"/>
          <w:szCs w:val="22"/>
        </w:rPr>
        <w:t xml:space="preserve">                                           </w:t>
      </w:r>
      <w:r w:rsidR="001A19EA">
        <w:rPr>
          <w:bCs/>
          <w:sz w:val="22"/>
          <w:szCs w:val="22"/>
        </w:rPr>
        <w:t xml:space="preserve">  </w:t>
      </w:r>
      <w:r w:rsidR="00E4292D" w:rsidRPr="00A13259">
        <w:rPr>
          <w:bCs/>
          <w:sz w:val="22"/>
          <w:szCs w:val="22"/>
        </w:rPr>
        <w:t xml:space="preserve">         </w:t>
      </w:r>
      <w:r>
        <w:rPr>
          <w:bCs/>
          <w:sz w:val="22"/>
          <w:szCs w:val="22"/>
        </w:rPr>
        <w:t xml:space="preserve">                                          </w:t>
      </w:r>
      <w:r w:rsidR="00E4292D" w:rsidRPr="00A13259">
        <w:rPr>
          <w:bCs/>
          <w:sz w:val="22"/>
          <w:szCs w:val="22"/>
        </w:rPr>
        <w:t xml:space="preserve">   </w:t>
      </w:r>
      <w:r w:rsidR="006B1F92" w:rsidRPr="00A13259">
        <w:rPr>
          <w:bCs/>
          <w:sz w:val="22"/>
          <w:szCs w:val="22"/>
        </w:rPr>
        <w:t xml:space="preserve"> </w:t>
      </w:r>
      <w:r w:rsidR="00E4292D" w:rsidRPr="00A13259">
        <w:rPr>
          <w:bCs/>
          <w:sz w:val="22"/>
          <w:szCs w:val="22"/>
        </w:rPr>
        <w:t xml:space="preserve"> </w:t>
      </w:r>
      <w:r w:rsidR="003141A0" w:rsidRPr="00A132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Ніна ЧЕРНЯК</w:t>
      </w:r>
    </w:p>
    <w:p w:rsidR="003C1DC8" w:rsidRPr="00A13259" w:rsidRDefault="003C1DC8" w:rsidP="0025120E">
      <w:pPr>
        <w:jc w:val="both"/>
        <w:rPr>
          <w:bCs/>
          <w:sz w:val="22"/>
          <w:szCs w:val="22"/>
        </w:rPr>
      </w:pPr>
    </w:p>
    <w:p w:rsidR="003C1DC8" w:rsidRPr="00A13259" w:rsidRDefault="003C1DC8" w:rsidP="0025120E">
      <w:pPr>
        <w:jc w:val="both"/>
        <w:rPr>
          <w:bCs/>
          <w:sz w:val="22"/>
          <w:szCs w:val="22"/>
        </w:rPr>
      </w:pPr>
    </w:p>
    <w:p w:rsidR="0025120E" w:rsidRPr="00A13259" w:rsidRDefault="0025120E" w:rsidP="0025120E">
      <w:pPr>
        <w:jc w:val="both"/>
        <w:rPr>
          <w:sz w:val="22"/>
          <w:szCs w:val="22"/>
        </w:rPr>
      </w:pPr>
    </w:p>
    <w:p w:rsidR="003C6C82" w:rsidRPr="00337C1E" w:rsidRDefault="003504A0" w:rsidP="003631CF">
      <w:pPr>
        <w:jc w:val="both"/>
        <w:rPr>
          <w:color w:val="FF0000"/>
          <w:sz w:val="18"/>
          <w:szCs w:val="18"/>
        </w:rPr>
      </w:pPr>
      <w:r w:rsidRPr="00337C1E">
        <w:rPr>
          <w:sz w:val="18"/>
          <w:szCs w:val="18"/>
        </w:rPr>
        <w:t>Ірина Іванова</w:t>
      </w:r>
    </w:p>
    <w:sectPr w:rsidR="003C6C82" w:rsidRPr="00337C1E" w:rsidSect="008A39EA">
      <w:pgSz w:w="16838" w:h="11906" w:orient="landscape" w:code="9"/>
      <w:pgMar w:top="426" w:right="567" w:bottom="426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67E6"/>
    <w:rsid w:val="00014E34"/>
    <w:rsid w:val="00016812"/>
    <w:rsid w:val="00026D02"/>
    <w:rsid w:val="000532B4"/>
    <w:rsid w:val="000561E0"/>
    <w:rsid w:val="00066774"/>
    <w:rsid w:val="000713B5"/>
    <w:rsid w:val="0007275E"/>
    <w:rsid w:val="0007407A"/>
    <w:rsid w:val="000808B1"/>
    <w:rsid w:val="000868E1"/>
    <w:rsid w:val="00094EE9"/>
    <w:rsid w:val="000979D3"/>
    <w:rsid w:val="000A083D"/>
    <w:rsid w:val="000A1D5D"/>
    <w:rsid w:val="000E0B7D"/>
    <w:rsid w:val="000E1145"/>
    <w:rsid w:val="000F4B3E"/>
    <w:rsid w:val="000F77F4"/>
    <w:rsid w:val="000F791D"/>
    <w:rsid w:val="00102DD5"/>
    <w:rsid w:val="00113353"/>
    <w:rsid w:val="00116562"/>
    <w:rsid w:val="00127E66"/>
    <w:rsid w:val="00135DBC"/>
    <w:rsid w:val="00143686"/>
    <w:rsid w:val="00152712"/>
    <w:rsid w:val="00154156"/>
    <w:rsid w:val="00157AD1"/>
    <w:rsid w:val="001608D7"/>
    <w:rsid w:val="00187964"/>
    <w:rsid w:val="00193644"/>
    <w:rsid w:val="001A19EA"/>
    <w:rsid w:val="001A58AB"/>
    <w:rsid w:val="001B39AE"/>
    <w:rsid w:val="001C46EB"/>
    <w:rsid w:val="001D45CF"/>
    <w:rsid w:val="001E527F"/>
    <w:rsid w:val="001E6AB6"/>
    <w:rsid w:val="001F1E20"/>
    <w:rsid w:val="001F671F"/>
    <w:rsid w:val="001F6735"/>
    <w:rsid w:val="001F7E79"/>
    <w:rsid w:val="0020011C"/>
    <w:rsid w:val="00230626"/>
    <w:rsid w:val="00232C51"/>
    <w:rsid w:val="00234116"/>
    <w:rsid w:val="00234F5F"/>
    <w:rsid w:val="00242193"/>
    <w:rsid w:val="00242315"/>
    <w:rsid w:val="0025120E"/>
    <w:rsid w:val="00251E5D"/>
    <w:rsid w:val="002573B7"/>
    <w:rsid w:val="00263A74"/>
    <w:rsid w:val="002712D5"/>
    <w:rsid w:val="00272119"/>
    <w:rsid w:val="0027370E"/>
    <w:rsid w:val="002820D6"/>
    <w:rsid w:val="00285D49"/>
    <w:rsid w:val="00291917"/>
    <w:rsid w:val="002960A6"/>
    <w:rsid w:val="002A0B74"/>
    <w:rsid w:val="002A5842"/>
    <w:rsid w:val="002B4ADD"/>
    <w:rsid w:val="002B62AF"/>
    <w:rsid w:val="002B7711"/>
    <w:rsid w:val="002B7798"/>
    <w:rsid w:val="002C26A9"/>
    <w:rsid w:val="002D75CB"/>
    <w:rsid w:val="002E293B"/>
    <w:rsid w:val="002E4CAE"/>
    <w:rsid w:val="002F1B49"/>
    <w:rsid w:val="002F6D83"/>
    <w:rsid w:val="00310985"/>
    <w:rsid w:val="00313A48"/>
    <w:rsid w:val="003141A0"/>
    <w:rsid w:val="00314F00"/>
    <w:rsid w:val="00324533"/>
    <w:rsid w:val="00334221"/>
    <w:rsid w:val="003372FB"/>
    <w:rsid w:val="00337C1E"/>
    <w:rsid w:val="003413D3"/>
    <w:rsid w:val="00341ECB"/>
    <w:rsid w:val="0034390F"/>
    <w:rsid w:val="00345A72"/>
    <w:rsid w:val="003504A0"/>
    <w:rsid w:val="003631CF"/>
    <w:rsid w:val="003817CA"/>
    <w:rsid w:val="003876C3"/>
    <w:rsid w:val="00395E4F"/>
    <w:rsid w:val="00396675"/>
    <w:rsid w:val="003A12CD"/>
    <w:rsid w:val="003A1505"/>
    <w:rsid w:val="003B1AA9"/>
    <w:rsid w:val="003B1EC0"/>
    <w:rsid w:val="003B2CF6"/>
    <w:rsid w:val="003B2F1F"/>
    <w:rsid w:val="003B72DB"/>
    <w:rsid w:val="003C1327"/>
    <w:rsid w:val="003C1DC8"/>
    <w:rsid w:val="003C29E0"/>
    <w:rsid w:val="003C3EF2"/>
    <w:rsid w:val="003C6C82"/>
    <w:rsid w:val="003D0650"/>
    <w:rsid w:val="003D169E"/>
    <w:rsid w:val="003D2916"/>
    <w:rsid w:val="003E2A62"/>
    <w:rsid w:val="003F28DD"/>
    <w:rsid w:val="003F6F70"/>
    <w:rsid w:val="003F7F37"/>
    <w:rsid w:val="00402EBF"/>
    <w:rsid w:val="00403433"/>
    <w:rsid w:val="00406B6F"/>
    <w:rsid w:val="00407DB7"/>
    <w:rsid w:val="00417272"/>
    <w:rsid w:val="004200FB"/>
    <w:rsid w:val="00423485"/>
    <w:rsid w:val="004257B4"/>
    <w:rsid w:val="00433ED9"/>
    <w:rsid w:val="00436040"/>
    <w:rsid w:val="00443F1E"/>
    <w:rsid w:val="00446B7E"/>
    <w:rsid w:val="00473B49"/>
    <w:rsid w:val="00492AD2"/>
    <w:rsid w:val="00496EB7"/>
    <w:rsid w:val="004B0B65"/>
    <w:rsid w:val="004B30DC"/>
    <w:rsid w:val="004B7995"/>
    <w:rsid w:val="004D0785"/>
    <w:rsid w:val="004D51AE"/>
    <w:rsid w:val="004E5A23"/>
    <w:rsid w:val="00505AA5"/>
    <w:rsid w:val="00537ED9"/>
    <w:rsid w:val="00542599"/>
    <w:rsid w:val="00552608"/>
    <w:rsid w:val="005532A8"/>
    <w:rsid w:val="00566A48"/>
    <w:rsid w:val="00577302"/>
    <w:rsid w:val="00582163"/>
    <w:rsid w:val="005916F1"/>
    <w:rsid w:val="00594D6C"/>
    <w:rsid w:val="0059512C"/>
    <w:rsid w:val="005A02B2"/>
    <w:rsid w:val="005A7507"/>
    <w:rsid w:val="005B23D3"/>
    <w:rsid w:val="005B2565"/>
    <w:rsid w:val="005B669F"/>
    <w:rsid w:val="005C517B"/>
    <w:rsid w:val="005D1A4E"/>
    <w:rsid w:val="005D653A"/>
    <w:rsid w:val="005F1190"/>
    <w:rsid w:val="005F1B7C"/>
    <w:rsid w:val="005F2567"/>
    <w:rsid w:val="00605BDC"/>
    <w:rsid w:val="0061092A"/>
    <w:rsid w:val="00614858"/>
    <w:rsid w:val="006259D1"/>
    <w:rsid w:val="006262C2"/>
    <w:rsid w:val="00627CE4"/>
    <w:rsid w:val="00627DCA"/>
    <w:rsid w:val="00637C60"/>
    <w:rsid w:val="00640BAC"/>
    <w:rsid w:val="0064177B"/>
    <w:rsid w:val="006432F8"/>
    <w:rsid w:val="00653B06"/>
    <w:rsid w:val="006551F2"/>
    <w:rsid w:val="006654EB"/>
    <w:rsid w:val="00670E49"/>
    <w:rsid w:val="00673A17"/>
    <w:rsid w:val="00677105"/>
    <w:rsid w:val="00677490"/>
    <w:rsid w:val="00683AD8"/>
    <w:rsid w:val="00691B51"/>
    <w:rsid w:val="006929C6"/>
    <w:rsid w:val="006929CA"/>
    <w:rsid w:val="006953F1"/>
    <w:rsid w:val="006A1986"/>
    <w:rsid w:val="006A2940"/>
    <w:rsid w:val="006B1DB5"/>
    <w:rsid w:val="006B1F92"/>
    <w:rsid w:val="006B25F6"/>
    <w:rsid w:val="006B2DF9"/>
    <w:rsid w:val="006B2F9A"/>
    <w:rsid w:val="006B3315"/>
    <w:rsid w:val="006C0D5A"/>
    <w:rsid w:val="006C2A05"/>
    <w:rsid w:val="006C3B53"/>
    <w:rsid w:val="006C530B"/>
    <w:rsid w:val="006D2147"/>
    <w:rsid w:val="006D3AFD"/>
    <w:rsid w:val="006E5972"/>
    <w:rsid w:val="006E730F"/>
    <w:rsid w:val="007073C4"/>
    <w:rsid w:val="00707FEC"/>
    <w:rsid w:val="0071068C"/>
    <w:rsid w:val="00716630"/>
    <w:rsid w:val="007223CF"/>
    <w:rsid w:val="00725CC2"/>
    <w:rsid w:val="00735F91"/>
    <w:rsid w:val="00736654"/>
    <w:rsid w:val="00744A8F"/>
    <w:rsid w:val="0074670E"/>
    <w:rsid w:val="00747A1C"/>
    <w:rsid w:val="00753D6E"/>
    <w:rsid w:val="00755559"/>
    <w:rsid w:val="007656B3"/>
    <w:rsid w:val="00774251"/>
    <w:rsid w:val="00774DBA"/>
    <w:rsid w:val="00777D37"/>
    <w:rsid w:val="0078061C"/>
    <w:rsid w:val="0078681E"/>
    <w:rsid w:val="00787504"/>
    <w:rsid w:val="00790510"/>
    <w:rsid w:val="0079260E"/>
    <w:rsid w:val="007A1297"/>
    <w:rsid w:val="007A3171"/>
    <w:rsid w:val="007A426A"/>
    <w:rsid w:val="007B2CC7"/>
    <w:rsid w:val="007B3277"/>
    <w:rsid w:val="007B7DAA"/>
    <w:rsid w:val="007C0A87"/>
    <w:rsid w:val="007D5B85"/>
    <w:rsid w:val="007D5CFA"/>
    <w:rsid w:val="007E1042"/>
    <w:rsid w:val="007E2BDC"/>
    <w:rsid w:val="00800ACF"/>
    <w:rsid w:val="00800EBF"/>
    <w:rsid w:val="008115B4"/>
    <w:rsid w:val="008131A0"/>
    <w:rsid w:val="00814841"/>
    <w:rsid w:val="00824D8F"/>
    <w:rsid w:val="008275E1"/>
    <w:rsid w:val="0083060E"/>
    <w:rsid w:val="00834952"/>
    <w:rsid w:val="00835011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4F84"/>
    <w:rsid w:val="00867B41"/>
    <w:rsid w:val="00870511"/>
    <w:rsid w:val="00871A2F"/>
    <w:rsid w:val="00871C15"/>
    <w:rsid w:val="00873C63"/>
    <w:rsid w:val="00874639"/>
    <w:rsid w:val="0087497E"/>
    <w:rsid w:val="00880964"/>
    <w:rsid w:val="0088502B"/>
    <w:rsid w:val="008861F7"/>
    <w:rsid w:val="00893461"/>
    <w:rsid w:val="008A0CA5"/>
    <w:rsid w:val="008A39EA"/>
    <w:rsid w:val="008C51E3"/>
    <w:rsid w:val="008C52FE"/>
    <w:rsid w:val="008D49BD"/>
    <w:rsid w:val="008D5E1E"/>
    <w:rsid w:val="008E5E0C"/>
    <w:rsid w:val="008F715B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5C11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834CD"/>
    <w:rsid w:val="009914EC"/>
    <w:rsid w:val="009A43E1"/>
    <w:rsid w:val="009A48D5"/>
    <w:rsid w:val="009B72A3"/>
    <w:rsid w:val="009C0720"/>
    <w:rsid w:val="009C0E81"/>
    <w:rsid w:val="009C763A"/>
    <w:rsid w:val="009D09EF"/>
    <w:rsid w:val="009D2EAC"/>
    <w:rsid w:val="009E074E"/>
    <w:rsid w:val="009E29E3"/>
    <w:rsid w:val="009E4F00"/>
    <w:rsid w:val="00A030C6"/>
    <w:rsid w:val="00A04290"/>
    <w:rsid w:val="00A060BC"/>
    <w:rsid w:val="00A13259"/>
    <w:rsid w:val="00A22A79"/>
    <w:rsid w:val="00A35CEF"/>
    <w:rsid w:val="00A40826"/>
    <w:rsid w:val="00A45764"/>
    <w:rsid w:val="00A65061"/>
    <w:rsid w:val="00A76C8F"/>
    <w:rsid w:val="00A77393"/>
    <w:rsid w:val="00A812A5"/>
    <w:rsid w:val="00A82E30"/>
    <w:rsid w:val="00A8364C"/>
    <w:rsid w:val="00A8393A"/>
    <w:rsid w:val="00A83A72"/>
    <w:rsid w:val="00A850FD"/>
    <w:rsid w:val="00A87EC9"/>
    <w:rsid w:val="00AB1990"/>
    <w:rsid w:val="00AB2721"/>
    <w:rsid w:val="00AB4E9D"/>
    <w:rsid w:val="00AC4F65"/>
    <w:rsid w:val="00AC6075"/>
    <w:rsid w:val="00AD46E5"/>
    <w:rsid w:val="00AD658F"/>
    <w:rsid w:val="00AD6A62"/>
    <w:rsid w:val="00AE44F3"/>
    <w:rsid w:val="00AE5361"/>
    <w:rsid w:val="00AF0F16"/>
    <w:rsid w:val="00AF26EF"/>
    <w:rsid w:val="00AF7262"/>
    <w:rsid w:val="00B167D8"/>
    <w:rsid w:val="00B232B7"/>
    <w:rsid w:val="00B41283"/>
    <w:rsid w:val="00B41FB7"/>
    <w:rsid w:val="00B42015"/>
    <w:rsid w:val="00B4586B"/>
    <w:rsid w:val="00B534B8"/>
    <w:rsid w:val="00B54D67"/>
    <w:rsid w:val="00B54F1A"/>
    <w:rsid w:val="00B61810"/>
    <w:rsid w:val="00B73DD2"/>
    <w:rsid w:val="00B76E7A"/>
    <w:rsid w:val="00B94559"/>
    <w:rsid w:val="00B94B3B"/>
    <w:rsid w:val="00B973F1"/>
    <w:rsid w:val="00BB1708"/>
    <w:rsid w:val="00BB300B"/>
    <w:rsid w:val="00BB6776"/>
    <w:rsid w:val="00BC02D3"/>
    <w:rsid w:val="00BC0586"/>
    <w:rsid w:val="00BC3BC6"/>
    <w:rsid w:val="00BC5824"/>
    <w:rsid w:val="00BD094F"/>
    <w:rsid w:val="00BD0C09"/>
    <w:rsid w:val="00BD214E"/>
    <w:rsid w:val="00BD3851"/>
    <w:rsid w:val="00BD39E5"/>
    <w:rsid w:val="00BE1AE8"/>
    <w:rsid w:val="00BF03B9"/>
    <w:rsid w:val="00BF4979"/>
    <w:rsid w:val="00C0342A"/>
    <w:rsid w:val="00C10ECC"/>
    <w:rsid w:val="00C11FF4"/>
    <w:rsid w:val="00C15EB7"/>
    <w:rsid w:val="00C21288"/>
    <w:rsid w:val="00C3020B"/>
    <w:rsid w:val="00C45932"/>
    <w:rsid w:val="00C5052C"/>
    <w:rsid w:val="00C51746"/>
    <w:rsid w:val="00C530D8"/>
    <w:rsid w:val="00C53C34"/>
    <w:rsid w:val="00C547FB"/>
    <w:rsid w:val="00C65BA5"/>
    <w:rsid w:val="00C65F66"/>
    <w:rsid w:val="00C670CC"/>
    <w:rsid w:val="00C7134E"/>
    <w:rsid w:val="00C80A78"/>
    <w:rsid w:val="00C843FA"/>
    <w:rsid w:val="00C874B4"/>
    <w:rsid w:val="00C93112"/>
    <w:rsid w:val="00CB58AD"/>
    <w:rsid w:val="00CC1A99"/>
    <w:rsid w:val="00CD0424"/>
    <w:rsid w:val="00CD0669"/>
    <w:rsid w:val="00CD6058"/>
    <w:rsid w:val="00CD67CA"/>
    <w:rsid w:val="00CE53A5"/>
    <w:rsid w:val="00CF0E0F"/>
    <w:rsid w:val="00D04692"/>
    <w:rsid w:val="00D06A06"/>
    <w:rsid w:val="00D25663"/>
    <w:rsid w:val="00D31AF3"/>
    <w:rsid w:val="00D37F32"/>
    <w:rsid w:val="00D416B6"/>
    <w:rsid w:val="00D529C1"/>
    <w:rsid w:val="00D54B2B"/>
    <w:rsid w:val="00D60486"/>
    <w:rsid w:val="00D73BE2"/>
    <w:rsid w:val="00D74CB7"/>
    <w:rsid w:val="00D77DF9"/>
    <w:rsid w:val="00D80742"/>
    <w:rsid w:val="00D821F5"/>
    <w:rsid w:val="00D8530E"/>
    <w:rsid w:val="00D91A21"/>
    <w:rsid w:val="00D94360"/>
    <w:rsid w:val="00D94B9D"/>
    <w:rsid w:val="00D94E02"/>
    <w:rsid w:val="00D94FB3"/>
    <w:rsid w:val="00D95E8E"/>
    <w:rsid w:val="00D960AC"/>
    <w:rsid w:val="00DA072C"/>
    <w:rsid w:val="00DB0C94"/>
    <w:rsid w:val="00DE1E26"/>
    <w:rsid w:val="00DE7151"/>
    <w:rsid w:val="00DF3252"/>
    <w:rsid w:val="00DF4ED1"/>
    <w:rsid w:val="00E20A8F"/>
    <w:rsid w:val="00E260ED"/>
    <w:rsid w:val="00E428CE"/>
    <w:rsid w:val="00E4292D"/>
    <w:rsid w:val="00E46397"/>
    <w:rsid w:val="00E51538"/>
    <w:rsid w:val="00E6648B"/>
    <w:rsid w:val="00E75767"/>
    <w:rsid w:val="00E80590"/>
    <w:rsid w:val="00E81F14"/>
    <w:rsid w:val="00E84ADA"/>
    <w:rsid w:val="00E92022"/>
    <w:rsid w:val="00E950DB"/>
    <w:rsid w:val="00E964CE"/>
    <w:rsid w:val="00EA17F0"/>
    <w:rsid w:val="00EA7448"/>
    <w:rsid w:val="00EB1C74"/>
    <w:rsid w:val="00EB2EAF"/>
    <w:rsid w:val="00EC1C36"/>
    <w:rsid w:val="00EC3FC8"/>
    <w:rsid w:val="00EC4468"/>
    <w:rsid w:val="00EC483F"/>
    <w:rsid w:val="00ED0770"/>
    <w:rsid w:val="00ED09E9"/>
    <w:rsid w:val="00ED16EF"/>
    <w:rsid w:val="00ED2E1E"/>
    <w:rsid w:val="00EE05A7"/>
    <w:rsid w:val="00EF086E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416BB"/>
    <w:rsid w:val="00F423BE"/>
    <w:rsid w:val="00F42CB5"/>
    <w:rsid w:val="00F81942"/>
    <w:rsid w:val="00F8322F"/>
    <w:rsid w:val="00F92DC0"/>
    <w:rsid w:val="00F93A4E"/>
    <w:rsid w:val="00F9495D"/>
    <w:rsid w:val="00F97309"/>
    <w:rsid w:val="00FA00BF"/>
    <w:rsid w:val="00FA36B1"/>
    <w:rsid w:val="00FA3A92"/>
    <w:rsid w:val="00FA4B7F"/>
    <w:rsid w:val="00FA597A"/>
    <w:rsid w:val="00FC2225"/>
    <w:rsid w:val="00FD1DF1"/>
    <w:rsid w:val="00FD756F"/>
    <w:rsid w:val="00FE3A5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0D6C-C004-408A-9746-A0F40C53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k204-2</dc:creator>
  <cp:lastModifiedBy>k220-1</cp:lastModifiedBy>
  <cp:revision>2</cp:revision>
  <cp:lastPrinted>2023-03-02T11:54:00Z</cp:lastPrinted>
  <dcterms:created xsi:type="dcterms:W3CDTF">2023-03-02T14:00:00Z</dcterms:created>
  <dcterms:modified xsi:type="dcterms:W3CDTF">2023-03-02T14:00:00Z</dcterms:modified>
</cp:coreProperties>
</file>